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Примечание к документу</w:t>
      </w:r>
    </w:p>
    <w:p>
      <w:pPr>
        <w:pStyle w:val="0"/>
        <w:jc w:val="both"/>
      </w:pPr>
      <w:r>
        <w:rPr>
          <w:sz w:val="20"/>
        </w:rPr>
        <w:t xml:space="preserve">Текст документа приведен в соответствии с публикацией на сайте </w:t>
      </w:r>
      <w:r>
        <w:rPr>
          <w:sz w:val="20"/>
        </w:rPr>
        <w:t xml:space="preserve">http://zakupki.gov.ru</w:t>
      </w:r>
      <w:r>
        <w:rPr>
          <w:sz w:val="20"/>
        </w:rPr>
        <w:t xml:space="preserve"> по состоянию на 12.09.2019.</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УПРАВЛЕНИЕ ФЕДЕРАЛЬНОЙ АНТИМОНОПОЛЬНОЙ СЛУЖБЫ</w:t>
      </w:r>
    </w:p>
    <w:p>
      <w:pPr>
        <w:pStyle w:val="2"/>
        <w:jc w:val="center"/>
      </w:pPr>
      <w:r>
        <w:rPr>
          <w:sz w:val="20"/>
        </w:rPr>
        <w:t xml:space="preserve">ПО АСТРАХАНСКОЙ ОБЛАСТИ</w:t>
      </w:r>
    </w:p>
    <w:p>
      <w:pPr>
        <w:pStyle w:val="2"/>
        <w:jc w:val="center"/>
      </w:pPr>
      <w:r>
        <w:rPr>
          <w:sz w:val="20"/>
        </w:rPr>
      </w:r>
    </w:p>
    <w:p>
      <w:pPr>
        <w:pStyle w:val="2"/>
        <w:jc w:val="center"/>
      </w:pPr>
      <w:r>
        <w:rPr>
          <w:sz w:val="20"/>
        </w:rPr>
        <w:t xml:space="preserve">РЕШЕНИЕ</w:t>
      </w:r>
    </w:p>
    <w:p>
      <w:pPr>
        <w:pStyle w:val="2"/>
        <w:jc w:val="center"/>
      </w:pPr>
      <w:r>
        <w:rPr>
          <w:sz w:val="20"/>
        </w:rPr>
        <w:t xml:space="preserve">от 6 сентября 2019 г. N 030/06/69-1119/2019</w:t>
      </w:r>
    </w:p>
    <w:p>
      <w:pPr>
        <w:pStyle w:val="2"/>
        <w:jc w:val="center"/>
      </w:pPr>
      <w:r>
        <w:rPr>
          <w:sz w:val="20"/>
        </w:rPr>
      </w:r>
    </w:p>
    <w:p>
      <w:pPr>
        <w:pStyle w:val="2"/>
        <w:jc w:val="center"/>
      </w:pPr>
      <w:r>
        <w:rPr>
          <w:sz w:val="20"/>
        </w:rPr>
        <w:t xml:space="preserve">О НАРУШЕНИИ ЗАКОНОДАТЕЛЬСТВА О КОНТРАКТНОЙ СИСТЕМЕ</w:t>
      </w:r>
    </w:p>
    <w:p>
      <w:pPr>
        <w:pStyle w:val="0"/>
        <w:ind w:firstLine="540"/>
        <w:jc w:val="both"/>
      </w:pPr>
      <w:r>
        <w:rPr>
          <w:sz w:val="20"/>
        </w:rPr>
      </w:r>
    </w:p>
    <w:p>
      <w:pPr>
        <w:pStyle w:val="0"/>
        <w:ind w:firstLine="540"/>
        <w:jc w:val="both"/>
      </w:pPr>
      <w:r>
        <w:rPr>
          <w:sz w:val="20"/>
        </w:rPr>
        <w:t xml:space="preserve">Комиссия по контролю в сфере закупок на территории Астраханской области, утвержденная приказом руководителя Астраханского УФАС России (далее - Комиссия), в составе:</w:t>
      </w:r>
    </w:p>
    <w:p>
      <w:pPr>
        <w:pStyle w:val="0"/>
        <w:spacing w:before="200" w:line-rule="auto"/>
        <w:ind w:firstLine="540"/>
        <w:jc w:val="both"/>
      </w:pPr>
      <w:r>
        <w:rPr>
          <w:sz w:val="20"/>
        </w:rPr>
        <w:t xml:space="preserve">председателя комиссии</w:t>
      </w:r>
    </w:p>
    <w:p>
      <w:pPr>
        <w:pStyle w:val="0"/>
        <w:spacing w:before="200" w:line-rule="auto"/>
        <w:ind w:firstLine="540"/>
        <w:jc w:val="both"/>
      </w:pPr>
      <w:r>
        <w:rPr>
          <w:sz w:val="20"/>
        </w:rPr>
        <w:t xml:space="preserve">К.Т.- заместителя руководителя Астраханского УФАС России - начальника отдела финансовых рынков и рекламы (далее также Управление);</w:t>
      </w:r>
    </w:p>
    <w:p>
      <w:pPr>
        <w:pStyle w:val="0"/>
        <w:spacing w:before="200" w:line-rule="auto"/>
        <w:ind w:firstLine="540"/>
        <w:jc w:val="both"/>
      </w:pPr>
      <w:r>
        <w:rPr>
          <w:sz w:val="20"/>
        </w:rPr>
        <w:t xml:space="preserve">членов комиссии:</w:t>
      </w:r>
    </w:p>
    <w:p>
      <w:pPr>
        <w:pStyle w:val="0"/>
        <w:spacing w:before="200" w:line-rule="auto"/>
        <w:ind w:firstLine="540"/>
        <w:jc w:val="both"/>
      </w:pPr>
      <w:r>
        <w:rPr>
          <w:sz w:val="20"/>
        </w:rPr>
        <w:t xml:space="preserve">Л. - начальника отдела контроля в сфере закупок и антимонопольного контроля органов власти Управления;</w:t>
      </w:r>
    </w:p>
    <w:p>
      <w:pPr>
        <w:pStyle w:val="0"/>
        <w:spacing w:before="200" w:line-rule="auto"/>
        <w:ind w:firstLine="540"/>
        <w:jc w:val="both"/>
      </w:pPr>
      <w:r>
        <w:rPr>
          <w:sz w:val="20"/>
        </w:rPr>
        <w:t xml:space="preserve">У. - ведущего специалиста-эксперта отдела контроля в сфере закупок и антимонопольного контроля органов власти Управления,</w:t>
      </w:r>
    </w:p>
    <w:p>
      <w:pPr>
        <w:pStyle w:val="0"/>
        <w:spacing w:before="200" w:line-rule="auto"/>
        <w:ind w:firstLine="540"/>
        <w:jc w:val="both"/>
      </w:pPr>
      <w:r>
        <w:rPr>
          <w:sz w:val="20"/>
        </w:rPr>
        <w:t xml:space="preserve">в отсутствие индивидуального предпринимателя Б.И. (надлежащим образом уведомлен), в присутствии представителей Управления по коммунальному хозяйству и благоустройству администрации МО "Город Астрахани" Б.З. (доверенность от 06.09.2019 N 47),С. (доверенность от 18.03.2019 N 8), представителя администрации МО "Город Астрахань" К.Е. (доверенность от 27.12.2018 N 30-09-537), рассмотрев жалобу индивидуального предпринимателя Б.И. (404118, &lt;...&gt;) на действия аукционной комиссии при проведении электронного аукциона на право заключить контракт на поставку остановочных павильонов (реестровый N 0325300006419000876), на основании </w:t>
      </w:r>
      <w:r>
        <w:rPr>
          <w:sz w:val="20"/>
        </w:rPr>
        <w:t xml:space="preserve">ст. 99</w:t>
      </w:r>
      <w:r>
        <w:rPr>
          <w:sz w:val="20"/>
        </w:rPr>
        <w:t xml:space="preserve">, </w:t>
      </w:r>
      <w:r>
        <w:rPr>
          <w:sz w:val="20"/>
        </w:rPr>
        <w:t xml:space="preserve">ст. 105</w:t>
      </w:r>
      <w:r>
        <w:rPr>
          <w:sz w:val="20"/>
        </w:rPr>
        <w:t xml:space="preserve">, </w:t>
      </w:r>
      <w:r>
        <w:rPr>
          <w:sz w:val="20"/>
        </w:rPr>
        <w:t xml:space="preserve">ст. 106</w:t>
      </w:r>
      <w:r>
        <w:rPr>
          <w:sz w:val="20"/>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В Астраханское УФАС России 30.08.2019 поступила жалоба индивидуального предпринимателя Б.И. (далее - Заявитель, ИПБронников И.А.) на действия аукционной комиссии при проведении электронного аукциона на право заключить контракт на поставку остановочных павильонов (реестровый N 0325300006419000876) (далее - аукцион).</w:t>
      </w:r>
    </w:p>
    <w:p>
      <w:pPr>
        <w:pStyle w:val="0"/>
        <w:spacing w:before="200" w:line-rule="auto"/>
        <w:ind w:firstLine="540"/>
        <w:jc w:val="both"/>
      </w:pPr>
      <w:r>
        <w:rPr>
          <w:sz w:val="20"/>
        </w:rPr>
        <w:t xml:space="preserve">Податель жалобы полагает, что аукционная комиссия неправомерно приняла решение о признании соответствующей заявки индивидуального предпринимателя Б.А. (Победитель), в связи с тем, что он не осуществляет вид деятельности по предмету электронного аукциона.</w:t>
      </w:r>
    </w:p>
    <w:p>
      <w:pPr>
        <w:pStyle w:val="0"/>
        <w:spacing w:before="200" w:line-rule="auto"/>
        <w:ind w:firstLine="540"/>
        <w:jc w:val="both"/>
      </w:pPr>
      <w:r>
        <w:rPr>
          <w:sz w:val="20"/>
        </w:rPr>
        <w:t xml:space="preserve">На основании вышеизложенного Заявитель просит рассмотреть жалобу по существу и принять меры в соответствии с действующим законодательством Российской Федерации.</w:t>
      </w:r>
    </w:p>
    <w:p>
      <w:pPr>
        <w:pStyle w:val="0"/>
        <w:spacing w:before="200" w:line-rule="auto"/>
        <w:ind w:firstLine="540"/>
        <w:jc w:val="both"/>
      </w:pPr>
      <w:r>
        <w:rPr>
          <w:sz w:val="20"/>
        </w:rPr>
        <w:t xml:space="preserve">Комиссия, изучив документы, составленные в ходе проведения аукциона, заслушав позицию представителей заказчика и уполномоченного органа, проведя внеплановую проверку, установила, что 14.08.2019 Заказчиком на официальном сайте единой информационной системы в сфере закупок </w:t>
      </w:r>
      <w:r>
        <w:rPr>
          <w:sz w:val="20"/>
        </w:rPr>
        <w:t xml:space="preserve">www.zakupki.gov.ru</w:t>
      </w:r>
      <w:r>
        <w:rPr>
          <w:sz w:val="20"/>
        </w:rPr>
        <w:t xml:space="preserve"> (далее - официальный сайт) размещены извещение о проведении аукциона на право заключить контракт на поставку остановочных павильонов (реестровый N 0325300006419000876) и документация о нем.</w:t>
      </w:r>
    </w:p>
    <w:p>
      <w:pPr>
        <w:pStyle w:val="0"/>
        <w:spacing w:before="200" w:line-rule="auto"/>
        <w:ind w:firstLine="540"/>
        <w:jc w:val="both"/>
      </w:pPr>
      <w:r>
        <w:rPr>
          <w:sz w:val="20"/>
        </w:rPr>
        <w:t xml:space="preserve">Начальная (максимальная) цена контракта составила 5 832 000,00 руб.</w:t>
      </w:r>
    </w:p>
    <w:p>
      <w:pPr>
        <w:pStyle w:val="0"/>
        <w:spacing w:before="200" w:line-rule="auto"/>
        <w:ind w:firstLine="540"/>
        <w:jc w:val="both"/>
      </w:pPr>
      <w:r>
        <w:rPr>
          <w:sz w:val="20"/>
        </w:rPr>
        <w:t xml:space="preserve">Согласно протоколу рассмотрения первых частей заявок на участие в электронном аукционе от 22.08.2019 на участие в аукционе поступили 2 аукционные заявки, зарегистрированные под NN 1246715, N 1247108. Все участники закупки были допущены к участию в электронном аукционе.</w:t>
      </w:r>
    </w:p>
    <w:p>
      <w:pPr>
        <w:pStyle w:val="0"/>
        <w:spacing w:before="200" w:line-rule="auto"/>
        <w:ind w:firstLine="540"/>
        <w:jc w:val="both"/>
      </w:pPr>
      <w:r>
        <w:rPr>
          <w:sz w:val="20"/>
        </w:rPr>
        <w:t xml:space="preserve">В соответствии с протоколом подведения итогов электронного аукциона от 27.08.2019 участники закупки, чьи заявки были зарегистрированы под N 1246715, N 1247108 были признаны соответствующими требованиям аукционной документации Заказчика.</w:t>
      </w:r>
    </w:p>
    <w:p>
      <w:pPr>
        <w:pStyle w:val="0"/>
        <w:spacing w:before="200" w:line-rule="auto"/>
        <w:ind w:firstLine="540"/>
        <w:jc w:val="both"/>
      </w:pPr>
      <w:r>
        <w:rPr>
          <w:sz w:val="20"/>
        </w:rPr>
        <w:t xml:space="preserve">Согласно </w:t>
      </w:r>
      <w:r>
        <w:rPr>
          <w:sz w:val="20"/>
        </w:rPr>
        <w:t xml:space="preserve">ч. 5 ст. 66</w:t>
      </w:r>
      <w:r>
        <w:rPr>
          <w:sz w:val="20"/>
        </w:rPr>
        <w:t xml:space="preserve"> Закона о контрактной системе вторая часть заявки на участие в электронном аукционе должна содержать следующие документы и информацию:</w:t>
      </w:r>
    </w:p>
    <w:p>
      <w:pPr>
        <w:pStyle w:val="0"/>
        <w:spacing w:before="200" w:line-rule="auto"/>
        <w:ind w:firstLine="540"/>
        <w:jc w:val="both"/>
      </w:pPr>
      <w:r>
        <w:rPr>
          <w:sz w:val="20"/>
        </w:rPr>
        <w:t xml:space="preserve">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pPr>
        <w:pStyle w:val="0"/>
        <w:spacing w:before="200" w:line-rule="auto"/>
        <w:ind w:firstLine="540"/>
        <w:jc w:val="both"/>
      </w:pPr>
      <w:r>
        <w:rPr>
          <w:sz w:val="20"/>
        </w:rPr>
        <w:t xml:space="preserve">2) документы, подтверждающие соответствие участника такого аукциона требованиям, установленным </w:t>
      </w:r>
      <w:r>
        <w:rPr>
          <w:sz w:val="20"/>
        </w:rPr>
        <w:t xml:space="preserve">пунктом 1 части 1 статьи 31</w:t>
      </w:r>
      <w:r>
        <w:rPr>
          <w:sz w:val="20"/>
        </w:rPr>
        <w:t xml:space="preserve"> Закона о контрактной системе, или копии этих документов, а также декларация о соответствии участника такого аукциона требованиям, установленным </w:t>
      </w:r>
      <w:r>
        <w:rPr>
          <w:sz w:val="20"/>
        </w:rPr>
        <w:t xml:space="preserve">пунктами 3</w:t>
      </w:r>
      <w:r>
        <w:rPr>
          <w:sz w:val="20"/>
        </w:rPr>
        <w:t xml:space="preserve"> - </w:t>
      </w:r>
      <w:r>
        <w:rPr>
          <w:sz w:val="20"/>
        </w:rPr>
        <w:t xml:space="preserve">9 части 1 статьи 31</w:t>
      </w:r>
      <w:r>
        <w:rPr>
          <w:sz w:val="20"/>
        </w:rPr>
        <w:t xml:space="preserve"> Закона о контрактной системе (указанная декларация предоставляется с использованием программно-аппаратных средств электронной площадки);</w:t>
      </w:r>
    </w:p>
    <w:p>
      <w:pPr>
        <w:pStyle w:val="0"/>
        <w:spacing w:before="200" w:line-rule="auto"/>
        <w:ind w:firstLine="540"/>
        <w:jc w:val="both"/>
      </w:pPr>
      <w:r>
        <w:rPr>
          <w:sz w:val="20"/>
        </w:rPr>
        <w:t xml:space="preserve">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аукционе.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pPr>
        <w:pStyle w:val="0"/>
        <w:spacing w:before="200" w:line-rule="auto"/>
        <w:ind w:firstLine="540"/>
        <w:jc w:val="both"/>
      </w:pPr>
      <w:r>
        <w:rPr>
          <w:sz w:val="20"/>
        </w:rPr>
        <w:t xml:space="preserve">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pPr>
        <w:pStyle w:val="0"/>
        <w:spacing w:before="200" w:line-rule="auto"/>
        <w:ind w:firstLine="540"/>
        <w:jc w:val="both"/>
      </w:pPr>
      <w:r>
        <w:rPr>
          <w:sz w:val="20"/>
        </w:rPr>
        <w:t xml:space="preserve">5) документы, подтверждающие право участника электронного аукциона на получение преимуществ в соответствии со </w:t>
      </w:r>
      <w:r>
        <w:rPr>
          <w:sz w:val="20"/>
        </w:rPr>
        <w:t xml:space="preserve">статьями 28</w:t>
      </w:r>
      <w:r>
        <w:rPr>
          <w:sz w:val="20"/>
        </w:rPr>
        <w:t xml:space="preserve"> и </w:t>
      </w:r>
      <w:r>
        <w:rPr>
          <w:sz w:val="20"/>
        </w:rPr>
        <w:t xml:space="preserve">29</w:t>
      </w:r>
      <w:r>
        <w:rPr>
          <w:sz w:val="20"/>
        </w:rPr>
        <w:t xml:space="preserve"> настоящего Федерального закона (в случае, если участник электронного аукциона заявил о получении указанных преимуществ), или копии таких документов;</w:t>
      </w:r>
    </w:p>
    <w:p>
      <w:pPr>
        <w:pStyle w:val="0"/>
        <w:spacing w:before="200" w:line-rule="auto"/>
        <w:ind w:firstLine="540"/>
        <w:jc w:val="both"/>
      </w:pPr>
      <w:r>
        <w:rPr>
          <w:sz w:val="20"/>
        </w:rPr>
        <w:t xml:space="preserve">6) документы, предусмотренные нормативными правовыми актами, принятыми в соответствии со </w:t>
      </w:r>
      <w:r>
        <w:rPr>
          <w:sz w:val="20"/>
        </w:rPr>
        <w:t xml:space="preserve">статьей 14</w:t>
      </w:r>
      <w:r>
        <w:rPr>
          <w:sz w:val="20"/>
        </w:rPr>
        <w:t xml:space="preserve"> Закона о контрактной системе, в случае закупки товаров, работ, услуг, на которые распространяется действие указанных нормативных правовых актов, или копии таких документов. При отсутствии в заявке на участие в электронном аукционе документов, предусмотренных настоящим пунктом, или копий таких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pPr>
        <w:pStyle w:val="0"/>
        <w:spacing w:before="200" w:line-rule="auto"/>
        <w:ind w:firstLine="540"/>
        <w:jc w:val="both"/>
      </w:pPr>
      <w:r>
        <w:rPr>
          <w:sz w:val="20"/>
        </w:rPr>
        <w:t xml:space="preserve">Ч.6 ст. 66</w:t>
      </w:r>
      <w:r>
        <w:rPr>
          <w:sz w:val="20"/>
        </w:rPr>
        <w:t xml:space="preserve"> Закона о контрактной системе требовать от участника электронного аукциона предоставления иных документов и информации, за исключением предусмотренных </w:t>
      </w:r>
      <w:r>
        <w:rPr>
          <w:sz w:val="20"/>
        </w:rPr>
        <w:t xml:space="preserve">частями 3</w:t>
      </w:r>
      <w:r>
        <w:rPr>
          <w:sz w:val="20"/>
        </w:rPr>
        <w:t xml:space="preserve"> или </w:t>
      </w:r>
      <w:r>
        <w:rPr>
          <w:sz w:val="20"/>
        </w:rPr>
        <w:t xml:space="preserve">3.1</w:t>
      </w:r>
      <w:r>
        <w:rPr>
          <w:sz w:val="20"/>
        </w:rPr>
        <w:t xml:space="preserve"> и </w:t>
      </w:r>
      <w:r>
        <w:rPr>
          <w:sz w:val="20"/>
        </w:rPr>
        <w:t xml:space="preserve">5 ст. 66</w:t>
      </w:r>
      <w:r>
        <w:rPr>
          <w:sz w:val="20"/>
        </w:rPr>
        <w:t xml:space="preserve"> Закона о контрактной системе документов и информации, не допускается.</w:t>
      </w:r>
    </w:p>
    <w:p>
      <w:pPr>
        <w:pStyle w:val="0"/>
        <w:spacing w:before="200" w:line-rule="auto"/>
        <w:ind w:firstLine="540"/>
        <w:jc w:val="both"/>
      </w:pPr>
      <w:r>
        <w:rPr>
          <w:sz w:val="20"/>
        </w:rPr>
        <w:t xml:space="preserve">При этом </w:t>
      </w:r>
      <w:r>
        <w:rPr>
          <w:sz w:val="20"/>
        </w:rPr>
        <w:t xml:space="preserve">Законом</w:t>
      </w:r>
      <w:r>
        <w:rPr>
          <w:sz w:val="20"/>
        </w:rPr>
        <w:t xml:space="preserve"> о контрактной системе не закреплена обязанность аукционной комиссии проверять соответствие ОКВЭД участников закупки предмету электронного аукциона.</w:t>
      </w:r>
    </w:p>
    <w:p>
      <w:pPr>
        <w:pStyle w:val="0"/>
        <w:spacing w:before="200" w:line-rule="auto"/>
        <w:ind w:firstLine="540"/>
        <w:jc w:val="both"/>
      </w:pPr>
      <w:r>
        <w:rPr>
          <w:sz w:val="20"/>
        </w:rPr>
        <w:t xml:space="preserve">Кроме того, положения </w:t>
      </w:r>
      <w:r>
        <w:rPr>
          <w:sz w:val="20"/>
        </w:rPr>
        <w:t xml:space="preserve">частей 6</w:t>
      </w:r>
      <w:r>
        <w:rPr>
          <w:sz w:val="20"/>
        </w:rPr>
        <w:t xml:space="preserve">, </w:t>
      </w:r>
      <w:r>
        <w:rPr>
          <w:sz w:val="20"/>
        </w:rPr>
        <w:t xml:space="preserve">7 статьи 69</w:t>
      </w:r>
      <w:r>
        <w:rPr>
          <w:sz w:val="20"/>
        </w:rPr>
        <w:t xml:space="preserve"> Закона о контрактной системе не содержат такого основания для признания заявки участника закупки, не соответствующей требованиям документации об Аукционе, как отсутствие в Выписке из единого государственного реестра индивидуальных предпринимателей сведений о видах экономической деятельности, осуществляемым таким индивидуальным предпринимателем, соответствующего виду экономической деятельности, предусмотренной предметом аукциона.</w:t>
      </w:r>
    </w:p>
    <w:p>
      <w:pPr>
        <w:pStyle w:val="0"/>
        <w:spacing w:before="200" w:line-rule="auto"/>
        <w:ind w:firstLine="540"/>
        <w:jc w:val="both"/>
      </w:pPr>
      <w:r>
        <w:rPr>
          <w:sz w:val="20"/>
        </w:rPr>
        <w:t xml:space="preserve">Согласно </w:t>
      </w:r>
      <w:r>
        <w:rPr>
          <w:sz w:val="20"/>
        </w:rPr>
        <w:t xml:space="preserve">Письму</w:t>
      </w:r>
      <w:r>
        <w:rPr>
          <w:sz w:val="20"/>
        </w:rPr>
        <w:t xml:space="preserve"> Минфина России от 03.09.2018 N ЕД-19-2/263@ в силу </w:t>
      </w:r>
      <w:r>
        <w:rPr>
          <w:sz w:val="20"/>
        </w:rPr>
        <w:t xml:space="preserve">статьи 5</w:t>
      </w:r>
      <w:r>
        <w:rPr>
          <w:sz w:val="20"/>
        </w:rPr>
        <w:t xml:space="preserve"> Федерального закона от 8 августа 2001 г. N 129-ФЗ "О государственной регистрации юридических лиц и индивидуальных предпринимателей" и пункта 1.6 Требований к оформлению документов, представляемых в регистрирующий орган, утвержденных приказом ФНС России от 25 августа 2012 г. N ММВ-7-6/25@, индивидуальный предприниматель самостоятельно определяет виды экономической деятельности, которыми предполагает заниматься, и представляет сведения о соответствующих кодах по ОКВЭД для включения в Единый государственный реестр индивидуальных предпринимателей.</w:t>
      </w:r>
    </w:p>
    <w:p>
      <w:pPr>
        <w:pStyle w:val="0"/>
        <w:spacing w:before="200" w:line-rule="auto"/>
        <w:ind w:firstLine="540"/>
        <w:jc w:val="both"/>
      </w:pPr>
      <w:r>
        <w:rPr>
          <w:sz w:val="20"/>
        </w:rPr>
        <w:t xml:space="preserve">При этом в компетенцию регистрирующего органа не входит проверка обоснованности указания в представленных для государственной регистрации документах тех или иных кодов по ОКВЭД.</w:t>
      </w:r>
    </w:p>
    <w:p>
      <w:pPr>
        <w:pStyle w:val="0"/>
        <w:spacing w:before="200" w:line-rule="auto"/>
        <w:ind w:firstLine="540"/>
        <w:jc w:val="both"/>
      </w:pPr>
      <w:r>
        <w:rPr>
          <w:sz w:val="20"/>
        </w:rPr>
        <w:t xml:space="preserve">Заявленные при регистрации виды деятельности в соответствии с кодами по ОКВЭД не влияют на определение налогоплательщиком своих налоговых обязательств, за исключением случаев, прямо предусмотренных законодательством о налогах и сборах.</w:t>
      </w:r>
    </w:p>
    <w:p>
      <w:pPr>
        <w:pStyle w:val="0"/>
        <w:spacing w:before="200" w:line-rule="auto"/>
        <w:ind w:firstLine="540"/>
        <w:jc w:val="both"/>
      </w:pPr>
      <w:r>
        <w:rPr>
          <w:sz w:val="20"/>
        </w:rPr>
        <w:t xml:space="preserve">Согласно подходам, существующим в судебно-арбитражной практике, присвоение налогоплательщиком какого-либо кода вида деятельности по ОКВЭД не лишает его права на осуществление других видов деятельности и не свидетельствует о получении им необоснованной налоговой выгоды. ОКВЭД предназначен для классификации и кодирования видов экономической деятельности, заявляемых хозяйствующими субъектами при регистрации, и используется при решении задач, связанных с осуществлением государственного статистического наблюдения по видам деятельности за развитием экономических процессов и подготовкой статистической информации.</w:t>
      </w:r>
    </w:p>
    <w:p>
      <w:pPr>
        <w:pStyle w:val="0"/>
        <w:spacing w:before="200" w:line-rule="auto"/>
        <w:ind w:firstLine="540"/>
        <w:jc w:val="both"/>
      </w:pPr>
      <w:r>
        <w:rPr>
          <w:sz w:val="20"/>
        </w:rPr>
        <w:t xml:space="preserve">На основании изложенного Комиссия приходит к выводу о том, что довод Заявителя о том, что аукционной комиссией неправомерно принято решение о признании заявки ИП Б.А. соответствующей требованиям документации, не нашел своего подтверждения.</w:t>
      </w:r>
    </w:p>
    <w:p>
      <w:pPr>
        <w:pStyle w:val="0"/>
        <w:spacing w:before="200" w:line-rule="auto"/>
        <w:ind w:firstLine="540"/>
        <w:jc w:val="both"/>
      </w:pPr>
      <w:r>
        <w:rPr>
          <w:sz w:val="20"/>
        </w:rPr>
        <w:t xml:space="preserve">При таких обстоятельствах основания для выдачи предписания отсутствуют На основании вышеизложенного, Комиссия</w:t>
      </w:r>
    </w:p>
    <w:p>
      <w:pPr>
        <w:pStyle w:val="0"/>
        <w:jc w:val="center"/>
      </w:pPr>
      <w:r>
        <w:rPr>
          <w:sz w:val="20"/>
        </w:rPr>
      </w:r>
    </w:p>
    <w:p>
      <w:pPr>
        <w:pStyle w:val="0"/>
        <w:jc w:val="center"/>
      </w:pPr>
      <w:r>
        <w:rPr>
          <w:sz w:val="20"/>
        </w:rPr>
        <w:t xml:space="preserve">решила:</w:t>
      </w:r>
    </w:p>
    <w:p>
      <w:pPr>
        <w:pStyle w:val="0"/>
        <w:jc w:val="center"/>
      </w:pPr>
      <w:r>
        <w:rPr>
          <w:sz w:val="20"/>
        </w:rPr>
      </w:r>
    </w:p>
    <w:p>
      <w:pPr>
        <w:pStyle w:val="0"/>
        <w:ind w:firstLine="540"/>
        <w:jc w:val="both"/>
      </w:pPr>
      <w:r>
        <w:rPr>
          <w:sz w:val="20"/>
        </w:rPr>
        <w:t xml:space="preserve">1. Признать жалобу индивидуального предпринимателя Б.И. (404118, &lt;...&gt;) на действия аукционной комиссии при проведении электронного аукциона на право заключить контракт на поставку остановочных павильонов (реестровый N 0325300006419000876) необоснованной.</w:t>
      </w:r>
    </w:p>
    <w:p>
      <w:pPr>
        <w:pStyle w:val="0"/>
        <w:spacing w:before="200" w:line-rule="auto"/>
        <w:ind w:firstLine="540"/>
        <w:jc w:val="both"/>
      </w:pPr>
      <w:r>
        <w:rPr>
          <w:sz w:val="20"/>
        </w:rPr>
        <w:t xml:space="preserve">2. Предписание не выдавать.</w:t>
      </w:r>
    </w:p>
    <w:p>
      <w:pPr>
        <w:pStyle w:val="0"/>
        <w:ind w:firstLine="540"/>
        <w:jc w:val="both"/>
      </w:pPr>
      <w:r>
        <w:rPr>
          <w:sz w:val="20"/>
        </w:rPr>
      </w:r>
    </w:p>
    <w:p>
      <w:pPr>
        <w:pStyle w:val="0"/>
        <w:jc w:val="right"/>
      </w:pPr>
      <w:r>
        <w:rPr>
          <w:sz w:val="20"/>
        </w:rPr>
        <w:t xml:space="preserve">Председатель Комиссии</w:t>
      </w:r>
    </w:p>
    <w:p>
      <w:pPr>
        <w:pStyle w:val="0"/>
        <w:jc w:val="right"/>
      </w:pPr>
      <w:r>
        <w:rPr>
          <w:sz w:val="20"/>
        </w:rPr>
        <w:t xml:space="preserve">К.Т.</w:t>
      </w:r>
    </w:p>
    <w:p>
      <w:pPr>
        <w:pStyle w:val="0"/>
        <w:jc w:val="right"/>
      </w:pPr>
      <w:r>
        <w:rPr>
          <w:sz w:val="20"/>
        </w:rPr>
      </w:r>
    </w:p>
    <w:p>
      <w:pPr>
        <w:pStyle w:val="0"/>
        <w:jc w:val="right"/>
      </w:pPr>
      <w:r>
        <w:rPr>
          <w:sz w:val="20"/>
        </w:rPr>
        <w:t xml:space="preserve">Члены Комиссии</w:t>
      </w:r>
    </w:p>
    <w:p>
      <w:pPr>
        <w:pStyle w:val="0"/>
        <w:jc w:val="right"/>
      </w:pPr>
      <w:r>
        <w:rPr>
          <w:sz w:val="20"/>
        </w:rPr>
        <w:t xml:space="preserve">Л.</w:t>
      </w:r>
    </w:p>
    <w:p>
      <w:pPr>
        <w:pStyle w:val="0"/>
        <w:jc w:val="right"/>
      </w:pPr>
      <w:r>
        <w:rPr>
          <w:sz w:val="20"/>
        </w:rPr>
        <w:t xml:space="preserve">У.</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Астраханского УФАС России от 06.09.2019 N 030/06/69-1119/2019
Обстоятельства: Поступила жалоба на действия заказчика, выразившиеся в неправомерном принятии решения о признании соответствующей заявки победителя.
Решение: Признать жалобу необоснованной; предписание не выдавать.</dc:title>
  <dcterms:created xsi:type="dcterms:W3CDTF">2024-03-26T05:59:53Z</dcterms:created>
</cp:coreProperties>
</file>